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rFonts w:hint="eastAsia"/>
          <w:color w:val="333333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333333"/>
          <w:sz w:val="44"/>
          <w:szCs w:val="44"/>
        </w:rPr>
        <w:t>2026年普法责任清单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hint="eastAsia"/>
          <w:color w:val="333333"/>
          <w:sz w:val="28"/>
          <w:szCs w:val="28"/>
        </w:rPr>
      </w:pP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333333"/>
          <w:sz w:val="32"/>
          <w:szCs w:val="32"/>
        </w:rPr>
        <w:t>一、重点普法宣传项目及责任部门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1．习近平法治思想。《论坚持全面依法治国》、《习近平</w:t>
      </w:r>
      <w:r>
        <w:rPr>
          <w:rFonts w:hint="eastAsia" w:ascii="仿宋" w:hAnsi="仿宋" w:eastAsia="仿宋"/>
          <w:color w:val="333333"/>
          <w:sz w:val="32"/>
          <w:szCs w:val="32"/>
        </w:rPr>
        <w:t>法治文选</w:t>
      </w:r>
      <w:r>
        <w:rPr>
          <w:rFonts w:ascii="仿宋" w:hAnsi="仿宋" w:eastAsia="仿宋"/>
          <w:color w:val="333333"/>
          <w:sz w:val="32"/>
          <w:szCs w:val="32"/>
        </w:rPr>
        <w:t>》</w:t>
      </w:r>
      <w:r>
        <w:rPr>
          <w:rFonts w:hint="eastAsia" w:ascii="仿宋" w:hAnsi="仿宋" w:eastAsia="仿宋"/>
          <w:color w:val="333333"/>
          <w:sz w:val="32"/>
          <w:szCs w:val="32"/>
        </w:rPr>
        <w:t>（第一卷）</w:t>
      </w:r>
      <w:r>
        <w:rPr>
          <w:rFonts w:ascii="仿宋" w:hAnsi="仿宋" w:eastAsia="仿宋"/>
          <w:color w:val="333333"/>
          <w:sz w:val="32"/>
          <w:szCs w:val="32"/>
        </w:rPr>
        <w:t>、《习近平法治思想学习纲要》</w:t>
      </w:r>
      <w:r>
        <w:rPr>
          <w:rFonts w:hint="eastAsia" w:ascii="仿宋" w:hAnsi="仿宋" w:eastAsia="仿宋"/>
          <w:color w:val="333333"/>
          <w:sz w:val="32"/>
          <w:szCs w:val="32"/>
        </w:rPr>
        <w:t>（2025年版）</w:t>
      </w:r>
      <w:r>
        <w:rPr>
          <w:rFonts w:ascii="仿宋" w:hAnsi="仿宋" w:eastAsia="仿宋"/>
          <w:color w:val="333333"/>
          <w:sz w:val="32"/>
          <w:szCs w:val="32"/>
        </w:rPr>
        <w:t>（全系统）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2．《中华人民共和国宪法》（全系统）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3．《中华人民共和国民族团结进步促进法》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、《中华人民共和国爱国主义教育法》、</w:t>
      </w:r>
      <w:r>
        <w:rPr>
          <w:rFonts w:ascii="仿宋" w:hAnsi="仿宋" w:eastAsia="仿宋"/>
          <w:color w:val="333333"/>
          <w:sz w:val="32"/>
          <w:szCs w:val="32"/>
        </w:rPr>
        <w:t>《中华人民共和国国家安全法》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《中华人民共和国民法典》（全系统）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4．</w:t>
      </w:r>
      <w:r>
        <w:rPr>
          <w:rFonts w:hint="eastAsia" w:ascii="仿宋" w:hAnsi="仿宋" w:eastAsia="仿宋"/>
          <w:color w:val="333333"/>
          <w:sz w:val="32"/>
          <w:szCs w:val="32"/>
        </w:rPr>
        <w:t>《中国共产党领导全面依法治国工作条例》、</w:t>
      </w:r>
      <w:r>
        <w:rPr>
          <w:rFonts w:ascii="仿宋" w:hAnsi="仿宋" w:eastAsia="仿宋"/>
          <w:color w:val="333333"/>
          <w:sz w:val="32"/>
          <w:szCs w:val="32"/>
        </w:rPr>
        <w:t>《中国共产党统一战线工作条例》（全系统）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</w:t>
      </w:r>
      <w:r>
        <w:rPr>
          <w:rFonts w:ascii="仿宋" w:hAnsi="仿宋" w:eastAsia="仿宋"/>
          <w:color w:val="333333"/>
          <w:sz w:val="32"/>
          <w:szCs w:val="32"/>
        </w:rPr>
        <w:t>．《中华人民共和国行政许可法》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《中华人民共和国行政处罚法》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《中华人民共和国行政复议法》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《中华人民共和国行政诉讼法》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《中华人民共和国国家赔偿法》（局机关）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6</w:t>
      </w:r>
      <w:r>
        <w:rPr>
          <w:rFonts w:ascii="仿宋" w:hAnsi="仿宋" w:eastAsia="仿宋"/>
          <w:color w:val="333333"/>
          <w:sz w:val="32"/>
          <w:szCs w:val="32"/>
        </w:rPr>
        <w:t>．《中华人民共和国保</w:t>
      </w:r>
      <w:r>
        <w:rPr>
          <w:rFonts w:hint="eastAsia" w:ascii="仿宋" w:hAnsi="仿宋" w:eastAsia="仿宋"/>
          <w:color w:val="333333"/>
          <w:sz w:val="32"/>
          <w:szCs w:val="32"/>
        </w:rPr>
        <w:t>守国家秘密</w:t>
      </w:r>
      <w:r>
        <w:rPr>
          <w:rFonts w:ascii="仿宋" w:hAnsi="仿宋" w:eastAsia="仿宋"/>
          <w:color w:val="333333"/>
          <w:sz w:val="32"/>
          <w:szCs w:val="32"/>
        </w:rPr>
        <w:t>法》、《中华人民共和国档案法》、《信访条例》、《政府信息公开条例》（局机关）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7</w:t>
      </w:r>
      <w:r>
        <w:rPr>
          <w:rFonts w:ascii="仿宋" w:hAnsi="仿宋" w:eastAsia="仿宋"/>
          <w:color w:val="333333"/>
          <w:sz w:val="32"/>
          <w:szCs w:val="32"/>
        </w:rPr>
        <w:t>．《城市民族工作条例》、《上海</w:t>
      </w:r>
      <w:r>
        <w:rPr>
          <w:rFonts w:hint="eastAsia" w:ascii="仿宋" w:hAnsi="仿宋" w:eastAsia="仿宋"/>
          <w:color w:val="333333"/>
          <w:sz w:val="32"/>
          <w:szCs w:val="32"/>
        </w:rPr>
        <w:t>市</w:t>
      </w:r>
      <w:r>
        <w:rPr>
          <w:rFonts w:ascii="仿宋" w:hAnsi="仿宋" w:eastAsia="仿宋"/>
          <w:color w:val="333333"/>
          <w:sz w:val="32"/>
          <w:szCs w:val="32"/>
        </w:rPr>
        <w:t>少数民族权益保障条例》、《上海市清真食品管理条例》、《中国公民民族成份登记管理办法》（全系统）</w:t>
      </w:r>
    </w:p>
    <w:p>
      <w:pPr>
        <w:pStyle w:val="2"/>
        <w:widowControl w:val="0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8</w:t>
      </w:r>
      <w:r>
        <w:rPr>
          <w:rFonts w:ascii="仿宋" w:hAnsi="仿宋" w:eastAsia="仿宋"/>
          <w:color w:val="333333"/>
          <w:sz w:val="32"/>
          <w:szCs w:val="32"/>
        </w:rPr>
        <w:t>．《宗教事务条例》、《中华人民共和国境内外国人宗教活动管理规定》及其实施细则、《上海市宗教事务条例》、《宗教团体管理办法》、《宗教院校管理办法》</w:t>
      </w:r>
      <w:r>
        <w:rPr>
          <w:rFonts w:hint="eastAsia" w:ascii="仿宋" w:hAnsi="仿宋" w:eastAsia="仿宋"/>
          <w:color w:val="333333"/>
          <w:sz w:val="32"/>
          <w:szCs w:val="32"/>
        </w:rPr>
        <w:t>、《</w:t>
      </w:r>
      <w:r>
        <w:rPr>
          <w:rFonts w:ascii="仿宋" w:hAnsi="仿宋" w:eastAsia="仿宋"/>
          <w:color w:val="333333"/>
          <w:sz w:val="32"/>
          <w:szCs w:val="32"/>
        </w:rPr>
        <w:t>宗教院校教师资格认定和职称评审办法</w:t>
      </w:r>
      <w:r>
        <w:rPr>
          <w:rFonts w:hint="eastAsia" w:ascii="仿宋" w:hAnsi="仿宋" w:eastAsia="仿宋"/>
          <w:color w:val="333333"/>
          <w:sz w:val="32"/>
          <w:szCs w:val="32"/>
        </w:rPr>
        <w:t>》、《</w:t>
      </w:r>
      <w:r>
        <w:rPr>
          <w:rFonts w:ascii="仿宋" w:hAnsi="仿宋" w:eastAsia="仿宋"/>
          <w:color w:val="333333"/>
          <w:sz w:val="32"/>
          <w:szCs w:val="32"/>
        </w:rPr>
        <w:t>宗教院校学衔授予办法</w:t>
      </w:r>
      <w:r>
        <w:rPr>
          <w:rFonts w:hint="eastAsia" w:ascii="仿宋" w:hAnsi="仿宋" w:eastAsia="仿宋"/>
          <w:color w:val="333333"/>
          <w:sz w:val="32"/>
          <w:szCs w:val="32"/>
        </w:rPr>
        <w:t>》、</w:t>
      </w:r>
      <w:r>
        <w:rPr>
          <w:rFonts w:ascii="仿宋" w:hAnsi="仿宋" w:eastAsia="仿宋"/>
          <w:color w:val="333333"/>
          <w:sz w:val="32"/>
          <w:szCs w:val="32"/>
        </w:rPr>
        <w:t>《宗教活动场所管理办法》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《宗教活动场所财务管理办法》、《宗教教职人员管理办法》、《伊斯兰教朝觐事务管理办法》、《互联网宗教信息服务管理办法》（全系统）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333333"/>
          <w:sz w:val="32"/>
          <w:szCs w:val="32"/>
        </w:rPr>
        <w:t>二、重点普法宣传项目工作任务清单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1．认真落实党组中心组集体学习制度，组织领导干部开展法律法规专题培训，把学法用法、重大事项依法决策、依法履职等纳入领导干部工作实绩的重要内容，提高领导干部运用法治思维和法治方式能力。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2．加强机关干部的法治教育，将普法工作纳入局机关教育培训规划，将工作人员的尊法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学法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守法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用法情况作为年度考核的重要内容，增强机关干部的法治素养。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3．在宪法宣传周、民族宗教政策法规宣传学习月期间，充分运用政府门户网站、微信公众号向本市民族宗教界宣传习近平总书记关于</w:t>
      </w:r>
      <w:r>
        <w:rPr>
          <w:rFonts w:hint="eastAsia" w:ascii="仿宋" w:hAnsi="仿宋" w:eastAsia="仿宋"/>
          <w:color w:val="333333"/>
          <w:sz w:val="32"/>
          <w:szCs w:val="32"/>
        </w:rPr>
        <w:t>加强和改进</w:t>
      </w:r>
      <w:r>
        <w:rPr>
          <w:rFonts w:ascii="仿宋" w:hAnsi="仿宋" w:eastAsia="仿宋"/>
          <w:color w:val="333333"/>
          <w:sz w:val="32"/>
          <w:szCs w:val="32"/>
        </w:rPr>
        <w:t>民族</w:t>
      </w:r>
      <w:r>
        <w:rPr>
          <w:rFonts w:hint="eastAsia" w:ascii="仿宋" w:hAnsi="仿宋" w:eastAsia="仿宋"/>
          <w:color w:val="333333"/>
          <w:sz w:val="32"/>
          <w:szCs w:val="32"/>
        </w:rPr>
        <w:t>工作的重要思想、习近平总书记关于</w:t>
      </w:r>
      <w:r>
        <w:rPr>
          <w:rFonts w:ascii="仿宋" w:hAnsi="仿宋" w:eastAsia="仿宋"/>
          <w:color w:val="333333"/>
          <w:sz w:val="32"/>
          <w:szCs w:val="32"/>
        </w:rPr>
        <w:t>宗教工作的重要论述，中央统战工作会议、中央民族工作会议、全国宗教工作会议精神，</w:t>
      </w:r>
      <w:r>
        <w:rPr>
          <w:rFonts w:hint="eastAsia" w:ascii="仿宋" w:hAnsi="仿宋" w:eastAsia="仿宋"/>
          <w:color w:val="333333"/>
          <w:sz w:val="32"/>
          <w:szCs w:val="32"/>
        </w:rPr>
        <w:t>党</w:t>
      </w:r>
      <w:r>
        <w:rPr>
          <w:rFonts w:ascii="仿宋" w:hAnsi="仿宋" w:eastAsia="仿宋"/>
          <w:color w:val="333333"/>
          <w:sz w:val="32"/>
          <w:szCs w:val="32"/>
        </w:rPr>
        <w:t>中央关于民族和宗教工作的重大决策部署，深入学习民族宗教方面的法律法规，提高民族宗教界的尊法守法意识。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ascii="黑体" w:hAnsi="黑体" w:eastAsia="黑体"/>
          <w:color w:val="333333"/>
          <w:sz w:val="32"/>
          <w:szCs w:val="32"/>
        </w:rPr>
        <w:t>三、重点普法对象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1．本市民族宗教系统各级领导干部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2．市</w:t>
      </w:r>
      <w:r>
        <w:rPr>
          <w:rFonts w:hint="eastAsia" w:ascii="仿宋" w:hAnsi="仿宋" w:eastAsia="仿宋"/>
          <w:color w:val="333333"/>
          <w:sz w:val="32"/>
          <w:szCs w:val="32"/>
        </w:rPr>
        <w:t>、</w:t>
      </w:r>
      <w:r>
        <w:rPr>
          <w:rFonts w:ascii="仿宋" w:hAnsi="仿宋" w:eastAsia="仿宋"/>
          <w:color w:val="333333"/>
          <w:sz w:val="32"/>
          <w:szCs w:val="32"/>
        </w:rPr>
        <w:t>区民族宗教</w:t>
      </w:r>
      <w:r>
        <w:rPr>
          <w:rFonts w:hint="eastAsia" w:ascii="仿宋" w:hAnsi="仿宋" w:eastAsia="仿宋"/>
          <w:color w:val="333333"/>
          <w:sz w:val="32"/>
          <w:szCs w:val="32"/>
        </w:rPr>
        <w:t>工作</w:t>
      </w:r>
      <w:r>
        <w:rPr>
          <w:rFonts w:ascii="仿宋" w:hAnsi="仿宋" w:eastAsia="仿宋"/>
          <w:color w:val="333333"/>
          <w:sz w:val="32"/>
          <w:szCs w:val="32"/>
        </w:rPr>
        <w:t>部门机关干部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3．本市各街镇统战干部</w:t>
      </w:r>
    </w:p>
    <w:p>
      <w:pPr>
        <w:pStyle w:val="2"/>
        <w:snapToGrid w:val="0"/>
        <w:spacing w:before="0" w:beforeAutospacing="0" w:after="0" w:afterAutospacing="0"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4．本市民族宗教界人士</w:t>
      </w: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BF"/>
    <w:rsid w:val="00033DF0"/>
    <w:rsid w:val="00074298"/>
    <w:rsid w:val="001169C6"/>
    <w:rsid w:val="001D3E35"/>
    <w:rsid w:val="00253E07"/>
    <w:rsid w:val="00273DD4"/>
    <w:rsid w:val="003121B9"/>
    <w:rsid w:val="003B1BCB"/>
    <w:rsid w:val="003E1F48"/>
    <w:rsid w:val="003F7822"/>
    <w:rsid w:val="004D7C33"/>
    <w:rsid w:val="004E6CAC"/>
    <w:rsid w:val="00637DAC"/>
    <w:rsid w:val="006F50E4"/>
    <w:rsid w:val="00703411"/>
    <w:rsid w:val="007C42A8"/>
    <w:rsid w:val="008212F3"/>
    <w:rsid w:val="00885974"/>
    <w:rsid w:val="0095285A"/>
    <w:rsid w:val="009928ED"/>
    <w:rsid w:val="00A54571"/>
    <w:rsid w:val="00CD06BF"/>
    <w:rsid w:val="00D93A07"/>
    <w:rsid w:val="00DD1922"/>
    <w:rsid w:val="00FC2D94"/>
    <w:rsid w:val="119F0F1F"/>
    <w:rsid w:val="13CB10E9"/>
    <w:rsid w:val="269B185D"/>
    <w:rsid w:val="2EA702D7"/>
    <w:rsid w:val="3E1F291C"/>
    <w:rsid w:val="493C5B4D"/>
    <w:rsid w:val="5043693E"/>
    <w:rsid w:val="71816E6E"/>
    <w:rsid w:val="F35FF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521</Characters>
  <Lines>24</Lines>
  <Paragraphs>18</Paragraphs>
  <TotalTime>18</TotalTime>
  <ScaleCrop>false</ScaleCrop>
  <LinksUpToDate>false</LinksUpToDate>
  <CharactersWithSpaces>1024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2024-07-26T14:12:00Z</dcterms:created>
  <dc:creator>FLYING</dc:creator>
  <cp:lastModifiedBy>lenovo</cp:lastModifiedBy>
  <dcterms:modified xsi:type="dcterms:W3CDTF">2026-05-06T09:52:26Z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eyJoZGlkIjoiN2YzNjBkOTgyNWQ1YTMxYzM3MzMwNWFiODNmOWIzYWMiLCJ1c2VySWQiOiIxNjYzMTg1MTg1In0=</vt:lpwstr>
  </property>
  <property fmtid="{D5CDD505-2E9C-101B-9397-08002B2CF9AE}" pid="3" name="KSOProductBuildVer">
    <vt:lpwstr>2052-12.8.2.15290</vt:lpwstr>
  </property>
  <property fmtid="{D5CDD505-2E9C-101B-9397-08002B2CF9AE}" pid="4" name="ICV">
    <vt:lpwstr>80BB9990F16B4BC7827C52C9640FC445_12</vt:lpwstr>
  </property>
</Properties>
</file>